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jc w:val="center"/>
      </w:pPr>
      <w:r>
        <w:rPr>
          <w:rFonts w:ascii="Times New Roman" w:cs="Times New Roman" w:eastAsia="Times New Roman" w:hAnsi="Times New Roman"/>
          <w:b/>
          <w:bCs/>
          <w:sz w:val="28"/>
          <w:szCs w:val="28"/>
        </w:rPr>
        <w:t xml:space="preserve">ADDITIONAL AGREEMENT No. 1</w:t>
      </w:r>
    </w:p>
    <w:p>
      <w:pPr>
        <w:spacing w:after="40" w:before="0"/>
        <w:jc w:val="center"/>
      </w:pPr>
      <w:r>
        <w:rPr>
          <w:rFonts w:ascii="Times New Roman" w:cs="Times New Roman" w:eastAsia="Times New Roman" w:hAnsi="Times New Roman"/>
          <w:b w:val="false"/>
          <w:bCs w:val="false"/>
          <w:color w:val="444444"/>
          <w:sz w:val="22"/>
          <w:szCs w:val="22"/>
        </w:rPr>
        <w:t xml:space="preserve">ДОПОЛНИТЕЛЬНОЕ СОГЛАШЕНИЕ № 1</w:t>
      </w:r>
    </w:p>
    <w:p>
      <w:pPr>
        <w:spacing w:after="200" w:before="0"/>
        <w:jc w:val="center"/>
      </w:pPr>
      <w:r>
        <w:rPr>
          <w:rFonts w:ascii="Times New Roman" w:cs="Times New Roman" w:eastAsia="Times New Roman" w:hAnsi="Times New Roman"/>
          <w:b w:val="false"/>
          <w:bCs w:val="false"/>
          <w:sz w:val="20"/>
          <w:szCs w:val="20"/>
        </w:rPr>
        <w:t xml:space="preserve">to Contract No. IM/15-09 dated 15.09.2026</w:t>
      </w:r>
      <w:r>
        <w:rPr>
          <w:rFonts w:ascii="Times New Roman" w:cs="Times New Roman" w:eastAsia="Times New Roman" w:hAnsi="Times New Roman"/>
          <w:b w:val="false"/>
          <w:bCs w:val="false"/>
          <w:color w:val="666666"/>
          <w:sz w:val="20"/>
          <w:szCs w:val="20"/>
        </w:rPr>
        <w:t xml:space="preserve">   /   к Контракту № IM/15-09 от 15.09.2026</w:t>
      </w:r>
    </w:p>
    <w:tbl>
      <w:tblPr>
        <w:tblW w:type="dxa" w:w="10204"/>
        <w:tblBorders>
          <w:top w:val="none" w:color="FFFFFF" w:sz="0"/>
          <w:left w:val="none" w:color="FFFFFF" w:sz="0"/>
          <w:bottom w:val="none" w:color="FFFFFF" w:sz="0"/>
          <w:right w:val="none" w:color="FFFFFF" w:sz="0"/>
          <w:insideH w:val="none" w:color="FFFFFF" w:sz="0"/>
          <w:insideV w:val="none" w:color="FFFFFF" w:sz="0"/>
        </w:tblBorders>
      </w:tblPr>
      <w:tblGrid>
        <w:gridCol w:w="5102"/>
        <w:gridCol w:w="5102"/>
      </w:tblGrid>
      <w:tr>
        <w:tc>
          <w:tcPr>
            <w:tcW w:type="dxa" w:w="5102"/>
            <w:tcBorders>
              <w:top w:val="none" w:color="FFFFFF" w:sz="0"/>
              <w:left w:val="none" w:color="FFFFFF" w:sz="0"/>
              <w:bottom w:val="none" w:color="FFFFFF" w:sz="0"/>
              <w:right w:val="none" w:color="FFFFFF" w:sz="0"/>
            </w:tcBorders>
            <w:tcMar>
              <w:top w:type="dxa" w:w="40"/>
              <w:left w:type="dxa" w:w="100"/>
              <w:bottom w:type="dxa" w:w="40"/>
              <w:right w:type="dxa" w:w="100"/>
            </w:tcMar>
          </w:tcPr>
          <w:p>
            <w:pPr>
              <w:spacing w:after="0" w:before="0"/>
              <w:jc w:val="left"/>
            </w:pPr>
            <w:r>
              <w:rPr>
                <w:rFonts w:ascii="Times New Roman" w:cs="Times New Roman" w:eastAsia="Times New Roman" w:hAnsi="Times New Roman"/>
                <w:b/>
                <w:bCs/>
                <w:sz w:val="20"/>
                <w:szCs w:val="20"/>
              </w:rPr>
              <w:t xml:space="preserve">Place</w:t>
            </w:r>
            <w:r>
              <w:rPr>
                <w:rFonts w:ascii="Times New Roman" w:cs="Times New Roman" w:eastAsia="Times New Roman" w:hAnsi="Times New Roman"/>
                <w:b w:val="false"/>
                <w:bCs w:val="false"/>
                <w:color w:val="666666"/>
                <w:sz w:val="20"/>
                <w:szCs w:val="20"/>
              </w:rPr>
              <w:t xml:space="preserve"> / Место</w:t>
            </w:r>
            <w:r>
              <w:rPr>
                <w:rFonts w:ascii="Times New Roman" w:cs="Times New Roman" w:eastAsia="Times New Roman" w:hAnsi="Times New Roman"/>
                <w:b w:val="false"/>
                <w:bCs w:val="false"/>
                <w:sz w:val="20"/>
                <w:szCs w:val="20"/>
              </w:rPr>
              <w:t xml:space="preserve">: Kazan</w:t>
            </w:r>
          </w:p>
        </w:tc>
        <w:tc>
          <w:tcPr>
            <w:tcW w:type="dxa" w:w="5102"/>
            <w:tcBorders>
              <w:top w:val="none" w:color="FFFFFF" w:sz="0"/>
              <w:left w:val="none" w:color="FFFFFF" w:sz="0"/>
              <w:bottom w:val="none" w:color="FFFFFF" w:sz="0"/>
              <w:right w:val="none" w:color="FFFFFF" w:sz="0"/>
            </w:tcBorders>
            <w:tcMar>
              <w:top w:type="dxa" w:w="40"/>
              <w:left w:type="dxa" w:w="100"/>
              <w:bottom w:type="dxa" w:w="40"/>
              <w:right w:type="dxa" w:w="100"/>
            </w:tcMar>
          </w:tcPr>
          <w:p>
            <w:pPr>
              <w:spacing w:after="0" w:before="0"/>
              <w:jc w:val="right"/>
            </w:pPr>
            <w:r>
              <w:rPr>
                <w:rFonts w:ascii="Times New Roman" w:cs="Times New Roman" w:eastAsia="Times New Roman" w:hAnsi="Times New Roman"/>
                <w:b/>
                <w:bCs/>
                <w:sz w:val="20"/>
                <w:szCs w:val="20"/>
              </w:rPr>
              <w:t xml:space="preserve">Date</w:t>
            </w:r>
            <w:r>
              <w:rPr>
                <w:rFonts w:ascii="Times New Roman" w:cs="Times New Roman" w:eastAsia="Times New Roman" w:hAnsi="Times New Roman"/>
                <w:b w:val="false"/>
                <w:bCs w:val="false"/>
                <w:color w:val="666666"/>
                <w:sz w:val="20"/>
                <w:szCs w:val="20"/>
              </w:rPr>
              <w:t xml:space="preserve"> / Дата</w:t>
            </w:r>
            <w:r>
              <w:rPr>
                <w:rFonts w:ascii="Times New Roman" w:cs="Times New Roman" w:eastAsia="Times New Roman" w:hAnsi="Times New Roman"/>
                <w:b w:val="false"/>
                <w:bCs w:val="false"/>
                <w:sz w:val="20"/>
                <w:szCs w:val="20"/>
              </w:rPr>
              <w:t xml:space="preserve">: 11.10.2026</w:t>
            </w:r>
          </w:p>
        </w:tc>
      </w:tr>
    </w:tbl>
    <w:p>
      <w:pPr>
        <w:spacing w:after="120" w:before="0"/>
        <w:jc w:val="left"/>
      </w:pPr>
      <w:r>
        <w:rPr>
          <w:rFonts w:ascii="Times New Roman" w:cs="Times New Roman" w:eastAsia="Times New Roman" w:hAnsi="Times New Roman"/>
          <w:b w:val="false"/>
          <w:bCs w:val="false"/>
          <w:sz w:val="20"/>
          <w:szCs w:val="20"/>
        </w:rPr>
        <w:t xml:space="preserve"/>
      </w:r>
    </w:p>
    <w:tbl>
      <w:tblPr>
        <w:tblW w:type="dxa" w:w="10204"/>
        <w:tblBorders>
          <w:top w:val="none" w:color="FFFFFF" w:sz="0"/>
          <w:left w:val="none" w:color="FFFFFF" w:sz="0"/>
          <w:bottom w:val="none" w:color="FFFFFF" w:sz="0"/>
          <w:right w:val="none" w:color="FFFFFF" w:sz="0"/>
          <w:insideH w:val="none" w:color="FFFFFF" w:sz="0"/>
          <w:insideV w:val="single" w:color="BBBBBB" w:sz="4"/>
        </w:tblBorders>
      </w:tblPr>
      <w:tblGrid>
        <w:gridCol w:w="5102"/>
        <w:gridCol w:w="5102"/>
      </w:tblGrid>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sz w:val="20"/>
                <w:szCs w:val="20"/>
              </w:rPr>
              <w:t xml:space="preserve">Example Tools Co., Ltd. (the "Seller"), represented by General Manager Li Wei, acting on the basis of the Articles of Association, and LLC "Primer Import" (the "Buyer"), represented by General Director Ivan Primerov, acting on the basis of the Charter, together the "Parties", have entered into this Additional Agreement to Contract No. IM/15-09 dated 15.09.2026 (the "Contract") as follows:</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color w:val="333333"/>
                <w:sz w:val="20"/>
                <w:szCs w:val="20"/>
              </w:rPr>
              <w:t xml:space="preserve">Example Tools Co., Ltd. (далее — «Продавец») в лице генерального менеджера Ли Вэя, действующего на основании Устава, и LLC "Primer Import" (далее — «Покупатель») в лице генерального директора Примерова Ивана Ивановича, действующего на основании Устава, вместе — «Стороны», заключили настоящее Дополнительное соглашение к Контракту № IM/15-09 от 15.09.2026 (далее — «Контракт») о нижеследующем:</w:t>
            </w:r>
          </w:p>
        </w:tc>
      </w:tr>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sz w:val="20"/>
                <w:szCs w:val="20"/>
              </w:rPr>
              <w:t xml:space="preserve">1. Clause 9.2 of the Contract shall be read as follows: "9.2. The Contract becomes effective from the moment it is signed by both parties. The contract is valid until 31.12.2027, or until the parties fully fulfill their obligations."</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color w:val="333333"/>
                <w:sz w:val="20"/>
                <w:szCs w:val="20"/>
              </w:rPr>
              <w:t xml:space="preserve">1. Пункт 9.2 Контракта изложить в следующей редакции: «9.2. Контракт начинает действовать с момента его подписания обеими сторонами. Срок действия контракта до 31.12.2027 г. или до полного исполнения сторонами своих обязательств».</w:t>
            </w:r>
          </w:p>
        </w:tc>
      </w:tr>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sz w:val="20"/>
                <w:szCs w:val="20"/>
              </w:rPr>
              <w:t xml:space="preserve">2. In Section 10 of the Contract, the bank details of the Seller shall be read as follows: Bank: Example Commercial Bank, Ningbo Branch; SWIFT/BIC: EXMPCNSHXXX; Account number: XXXX XXXX XXXX 0002.</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color w:val="333333"/>
                <w:sz w:val="20"/>
                <w:szCs w:val="20"/>
              </w:rPr>
              <w:t xml:space="preserve">2. В разделе 10 Контракта банковские реквизиты Продавца изложить в следующей редакции: Банк: Example Commercial Bank, Ningbo Branch; SWIFT/BIC: EXMPCNSHXXX; Расчетный счет: XXXX XXXX XXXX 0002.</w:t>
            </w:r>
          </w:p>
        </w:tc>
      </w:tr>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sz w:val="20"/>
                <w:szCs w:val="20"/>
              </w:rPr>
              <w:t xml:space="preserve">3. All other terms and conditions of the Contract remain unchanged.</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color w:val="333333"/>
                <w:sz w:val="20"/>
                <w:szCs w:val="20"/>
              </w:rPr>
              <w:t xml:space="preserve">3. Все остальные условия Контракта остаются без изменений.</w:t>
            </w:r>
          </w:p>
        </w:tc>
      </w:tr>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sz w:val="20"/>
                <w:szCs w:val="20"/>
              </w:rPr>
              <w:t xml:space="preserve">4. This Additional Agreement comes into force on the date of its signing by both Parties and forms an integral part of the Contract.</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spacing w:after="0" w:before="0"/>
              <w:jc w:val="both"/>
            </w:pPr>
            <w:r>
              <w:rPr>
                <w:rFonts w:ascii="Times New Roman" w:cs="Times New Roman" w:eastAsia="Times New Roman" w:hAnsi="Times New Roman"/>
                <w:b w:val="false"/>
                <w:bCs w:val="false"/>
                <w:color w:val="333333"/>
                <w:sz w:val="20"/>
                <w:szCs w:val="20"/>
              </w:rPr>
              <w:t xml:space="preserve">4. Настоящее Дополнительное соглашение вступает в силу с даты его подписания обеими Сторонами и является неотъемлемой частью Контракта.</w:t>
            </w:r>
          </w:p>
        </w:tc>
      </w:tr>
      <w:tr>
        <w:tc>
          <w:tcPr>
            <w:tcW w:type="dxa" w:w="5102"/>
            <w:tcBorders>
              <w:top w:val="none" w:color="FFFFFF" w:sz="0"/>
              <w:left w:val="none" w:color="FFFFFF" w:sz="0"/>
              <w:bottom w:val="none" w:color="FFFFFF" w:sz="0"/>
              <w:right w:val="single" w:color="BBBBBB" w:sz="4"/>
            </w:tcBorders>
            <w:tcMar>
              <w:top w:type="dxa" w:w="40"/>
              <w:left w:type="dxa" w:w="160"/>
              <w:bottom w:type="dxa" w:w="80"/>
              <w:right w:type="dxa" w:w="160"/>
            </w:tcMar>
          </w:tcPr>
          <w:p>
            <w:pPr>
              <w:keepNext/>
              <w:spacing w:after="0" w:before="0"/>
              <w:jc w:val="both"/>
            </w:pPr>
            <w:r>
              <w:rPr>
                <w:rFonts w:ascii="Times New Roman" w:cs="Times New Roman" w:eastAsia="Times New Roman" w:hAnsi="Times New Roman"/>
                <w:b w:val="false"/>
                <w:bCs w:val="false"/>
                <w:sz w:val="20"/>
                <w:szCs w:val="20"/>
              </w:rPr>
              <w:t xml:space="preserve">5. This Additional Agreement is made in two originals, each in English and Russian, one for each Party.</w:t>
            </w:r>
          </w:p>
        </w:tc>
        <w:tc>
          <w:tcPr>
            <w:tcW w:type="dxa" w:w="5102"/>
            <w:tcBorders>
              <w:top w:val="none" w:color="FFFFFF" w:sz="0"/>
              <w:left w:val="none" w:color="FFFFFF" w:sz="0"/>
              <w:bottom w:val="none" w:color="FFFFFF" w:sz="0"/>
              <w:right w:val="none" w:color="FFFFFF" w:sz="0"/>
            </w:tcBorders>
            <w:tcMar>
              <w:top w:type="dxa" w:w="40"/>
              <w:left w:type="dxa" w:w="160"/>
              <w:bottom w:type="dxa" w:w="80"/>
              <w:right w:type="dxa" w:w="160"/>
            </w:tcMar>
          </w:tcPr>
          <w:p>
            <w:pPr>
              <w:keepNext/>
              <w:spacing w:after="0" w:before="0"/>
              <w:jc w:val="both"/>
            </w:pPr>
            <w:r>
              <w:rPr>
                <w:rFonts w:ascii="Times New Roman" w:cs="Times New Roman" w:eastAsia="Times New Roman" w:hAnsi="Times New Roman"/>
                <w:b w:val="false"/>
                <w:bCs w:val="false"/>
                <w:color w:val="333333"/>
                <w:sz w:val="20"/>
                <w:szCs w:val="20"/>
              </w:rPr>
              <w:t xml:space="preserve">5. Настоящее Дополнительное соглашение составлено в двух оригиналах, каждый на английском и русском языках, по одному для каждой из Сторон.</w:t>
            </w:r>
          </w:p>
        </w:tc>
      </w:tr>
    </w:tbl>
    <w:p>
      <w:pPr>
        <w:keepNext/>
        <w:spacing w:after="300" w:before="0"/>
        <w:jc w:val="left"/>
      </w:pPr>
      <w:r>
        <w:rPr>
          <w:rFonts w:ascii="Times New Roman" w:cs="Times New Roman" w:eastAsia="Times New Roman" w:hAnsi="Times New Roman"/>
          <w:b w:val="false"/>
          <w:bCs w:val="false"/>
          <w:sz w:val="20"/>
          <w:szCs w:val="20"/>
        </w:rPr>
        <w:t xml:space="preserve"/>
      </w:r>
    </w:p>
    <w:tbl>
      <w:tblPr>
        <w:tblW w:type="dxa" w:w="10204"/>
        <w:tblBorders>
          <w:top w:val="none" w:color="FFFFFF" w:sz="0"/>
          <w:left w:val="none" w:color="FFFFFF" w:sz="0"/>
          <w:bottom w:val="none" w:color="FFFFFF" w:sz="0"/>
          <w:right w:val="none" w:color="FFFFFF" w:sz="0"/>
          <w:insideH w:val="none" w:color="FFFFFF" w:sz="0"/>
          <w:insideV w:val="none" w:color="FFFFFF" w:sz="0"/>
        </w:tblBorders>
      </w:tblPr>
      <w:tblGrid>
        <w:gridCol w:w="5102"/>
        <w:gridCol w:w="5102"/>
      </w:tblGrid>
      <w:tr>
        <w:trPr>
          <w:cantSplit/>
        </w:trPr>
        <w:tc>
          <w:tcPr>
            <w:tcW w:type="dxa" w:w="5102"/>
            <w:tcBorders>
              <w:top w:val="none" w:color="FFFFFF" w:sz="0"/>
              <w:left w:val="none" w:color="FFFFFF" w:sz="0"/>
              <w:bottom w:val="none" w:color="FFFFFF" w:sz="0"/>
              <w:right w:val="none" w:color="FFFFFF" w:sz="0"/>
            </w:tcBorders>
            <w:tcMar>
              <w:top w:type="dxa" w:w="40"/>
              <w:left w:type="dxa" w:w="100"/>
              <w:bottom w:type="dxa" w:w="40"/>
              <w:right w:type="dxa" w:w="100"/>
            </w:tcMar>
          </w:tcPr>
          <w:p>
            <w:pPr>
              <w:spacing w:after="60" w:before="0"/>
              <w:jc w:val="left"/>
            </w:pPr>
            <w:r>
              <w:rPr>
                <w:rFonts w:ascii="Times New Roman" w:cs="Times New Roman" w:eastAsia="Times New Roman" w:hAnsi="Times New Roman"/>
                <w:b/>
                <w:bCs/>
                <w:sz w:val="20"/>
                <w:szCs w:val="20"/>
              </w:rPr>
              <w:t xml:space="preserve">Seller</w:t>
            </w:r>
            <w:r>
              <w:rPr>
                <w:rFonts w:ascii="Times New Roman" w:cs="Times New Roman" w:eastAsia="Times New Roman" w:hAnsi="Times New Roman"/>
                <w:b w:val="false"/>
                <w:bCs w:val="false"/>
                <w:color w:val="666666"/>
                <w:sz w:val="20"/>
                <w:szCs w:val="20"/>
              </w:rPr>
              <w:t xml:space="preserve"> / Продавец</w:t>
            </w:r>
          </w:p>
          <w:p>
            <w:pPr>
              <w:spacing w:after="0" w:before="0"/>
              <w:jc w:val="left"/>
            </w:pPr>
            <w:r>
              <w:rPr>
                <w:rFonts w:ascii="Times New Roman" w:cs="Times New Roman" w:eastAsia="Times New Roman" w:hAnsi="Times New Roman"/>
                <w:b/>
                <w:bCs/>
                <w:sz w:val="20"/>
                <w:szCs w:val="20"/>
              </w:rPr>
              <w:t xml:space="preserve">Example Tools Co., Ltd.</w:t>
            </w:r>
          </w:p>
          <w:p>
            <w:pPr>
              <w:spacing w:after="0" w:before="0"/>
              <w:jc w:val="left"/>
            </w:pPr>
            <w:r>
              <w:rPr>
                <w:rFonts w:ascii="Times New Roman" w:cs="Times New Roman" w:eastAsia="Times New Roman" w:hAnsi="Times New Roman"/>
                <w:b w:val="false"/>
                <w:bCs w:val="false"/>
                <w:sz w:val="18"/>
                <w:szCs w:val="18"/>
              </w:rPr>
              <w:t xml:space="preserve">No. 1 Sample Road, Ningbo, Zhejiang 315000</w:t>
            </w:r>
          </w:p>
          <w:p>
            <w:pPr>
              <w:spacing w:after="0" w:before="0"/>
              <w:jc w:val="left"/>
            </w:pPr>
            <w:r>
              <w:rPr>
                <w:rFonts w:ascii="Times New Roman" w:cs="Times New Roman" w:eastAsia="Times New Roman" w:hAnsi="Times New Roman"/>
                <w:b w:val="false"/>
                <w:bCs w:val="false"/>
                <w:sz w:val="18"/>
                <w:szCs w:val="18"/>
              </w:rPr>
              <w:t xml:space="preserve">China</w:t>
            </w:r>
          </w:p>
          <w:p>
            <w:pPr>
              <w:spacing w:after="0" w:before="0"/>
              <w:jc w:val="left"/>
            </w:pPr>
            <w:r>
              <w:rPr>
                <w:rFonts w:ascii="Times New Roman" w:cs="Times New Roman" w:eastAsia="Times New Roman" w:hAnsi="Times New Roman"/>
                <w:b w:val="false"/>
                <w:bCs w:val="false"/>
                <w:color w:val="666666"/>
                <w:sz w:val="18"/>
                <w:szCs w:val="18"/>
              </w:rPr>
              <w:t xml:space="preserve">Tax ID / Налоговый номер: </w:t>
            </w:r>
            <w:r>
              <w:rPr>
                <w:rFonts w:ascii="Times New Roman" w:cs="Times New Roman" w:eastAsia="Times New Roman" w:hAnsi="Times New Roman"/>
                <w:b w:val="false"/>
                <w:bCs w:val="false"/>
                <w:sz w:val="18"/>
                <w:szCs w:val="18"/>
              </w:rPr>
              <w:t xml:space="preserve">9133XXXXXXXXXXXXXX</w:t>
            </w:r>
          </w:p>
          <w:p>
            <w:pPr>
              <w:spacing w:after="360" w:before="0"/>
              <w:jc w:val="left"/>
            </w:pPr>
            <w:r>
              <w:rPr>
                <w:rFonts w:ascii="Times New Roman" w:cs="Times New Roman" w:eastAsia="Times New Roman" w:hAnsi="Times New Roman"/>
                <w:b w:val="false"/>
                <w:bCs w:val="false"/>
                <w:sz w:val="20"/>
                <w:szCs w:val="20"/>
              </w:rPr>
              <w:t xml:space="preserve"/>
            </w:r>
          </w:p>
          <w:p>
            <w:pPr>
              <w:spacing w:after="0" w:before="0"/>
              <w:jc w:val="left"/>
            </w:pPr>
            <w:r>
              <w:rPr>
                <w:rFonts w:ascii="Times New Roman" w:cs="Times New Roman" w:eastAsia="Times New Roman" w:hAnsi="Times New Roman"/>
                <w:b w:val="false"/>
                <w:bCs w:val="false"/>
                <w:sz w:val="20"/>
                <w:szCs w:val="20"/>
              </w:rPr>
              <w:t xml:space="preserve">_____________ / _____________</w:t>
            </w:r>
          </w:p>
        </w:tc>
        <w:tc>
          <w:tcPr>
            <w:tcW w:type="dxa" w:w="5102"/>
            <w:tcBorders>
              <w:top w:val="none" w:color="FFFFFF" w:sz="0"/>
              <w:left w:val="none" w:color="FFFFFF" w:sz="0"/>
              <w:bottom w:val="none" w:color="FFFFFF" w:sz="0"/>
              <w:right w:val="none" w:color="FFFFFF" w:sz="0"/>
            </w:tcBorders>
            <w:tcMar>
              <w:top w:type="dxa" w:w="40"/>
              <w:left w:type="dxa" w:w="100"/>
              <w:bottom w:type="dxa" w:w="40"/>
              <w:right w:type="dxa" w:w="100"/>
            </w:tcMar>
          </w:tcPr>
          <w:p>
            <w:pPr>
              <w:spacing w:after="60" w:before="0"/>
              <w:jc w:val="left"/>
            </w:pPr>
            <w:r>
              <w:rPr>
                <w:rFonts w:ascii="Times New Roman" w:cs="Times New Roman" w:eastAsia="Times New Roman" w:hAnsi="Times New Roman"/>
                <w:b/>
                <w:bCs/>
                <w:sz w:val="20"/>
                <w:szCs w:val="20"/>
              </w:rPr>
              <w:t xml:space="preserve">Buyer</w:t>
            </w:r>
            <w:r>
              <w:rPr>
                <w:rFonts w:ascii="Times New Roman" w:cs="Times New Roman" w:eastAsia="Times New Roman" w:hAnsi="Times New Roman"/>
                <w:b w:val="false"/>
                <w:bCs w:val="false"/>
                <w:color w:val="666666"/>
                <w:sz w:val="20"/>
                <w:szCs w:val="20"/>
              </w:rPr>
              <w:t xml:space="preserve"> / Покупатель</w:t>
            </w:r>
          </w:p>
          <w:p>
            <w:pPr>
              <w:spacing w:after="0" w:before="0"/>
              <w:jc w:val="left"/>
            </w:pPr>
            <w:r>
              <w:rPr>
                <w:rFonts w:ascii="Times New Roman" w:cs="Times New Roman" w:eastAsia="Times New Roman" w:hAnsi="Times New Roman"/>
                <w:b/>
                <w:bCs/>
                <w:sz w:val="20"/>
                <w:szCs w:val="20"/>
              </w:rPr>
              <w:t xml:space="preserve">LLC "Primer Import"</w:t>
            </w:r>
          </w:p>
          <w:p>
            <w:pPr>
              <w:spacing w:after="0" w:before="0"/>
              <w:jc w:val="left"/>
            </w:pPr>
            <w:r>
              <w:rPr>
                <w:rFonts w:ascii="Times New Roman" w:cs="Times New Roman" w:eastAsia="Times New Roman" w:hAnsi="Times New Roman"/>
                <w:b w:val="false"/>
                <w:bCs w:val="false"/>
                <w:sz w:val="18"/>
                <w:szCs w:val="18"/>
              </w:rPr>
              <w:t xml:space="preserve">Primernaya St. 1, Kazan 420000</w:t>
            </w:r>
          </w:p>
          <w:p>
            <w:pPr>
              <w:spacing w:after="0" w:before="0"/>
              <w:jc w:val="left"/>
            </w:pPr>
            <w:r>
              <w:rPr>
                <w:rFonts w:ascii="Times New Roman" w:cs="Times New Roman" w:eastAsia="Times New Roman" w:hAnsi="Times New Roman"/>
                <w:b w:val="false"/>
                <w:bCs w:val="false"/>
                <w:sz w:val="18"/>
                <w:szCs w:val="18"/>
              </w:rPr>
              <w:t xml:space="preserve">Russia</w:t>
            </w:r>
          </w:p>
          <w:p>
            <w:pPr>
              <w:spacing w:after="0" w:before="0"/>
              <w:jc w:val="left"/>
            </w:pPr>
            <w:r>
              <w:rPr>
                <w:rFonts w:ascii="Times New Roman" w:cs="Times New Roman" w:eastAsia="Times New Roman" w:hAnsi="Times New Roman"/>
                <w:b w:val="false"/>
                <w:bCs w:val="false"/>
                <w:color w:val="666666"/>
                <w:sz w:val="18"/>
                <w:szCs w:val="18"/>
              </w:rPr>
              <w:t xml:space="preserve">Tax ID / Налоговый номер: </w:t>
            </w:r>
            <w:r>
              <w:rPr>
                <w:rFonts w:ascii="Times New Roman" w:cs="Times New Roman" w:eastAsia="Times New Roman" w:hAnsi="Times New Roman"/>
                <w:b w:val="false"/>
                <w:bCs w:val="false"/>
                <w:sz w:val="18"/>
                <w:szCs w:val="18"/>
              </w:rPr>
              <w:t xml:space="preserve">16XXXXXXXX</w:t>
            </w:r>
          </w:p>
          <w:p>
            <w:pPr>
              <w:spacing w:after="360" w:before="0"/>
              <w:jc w:val="left"/>
            </w:pPr>
            <w:r>
              <w:rPr>
                <w:rFonts w:ascii="Times New Roman" w:cs="Times New Roman" w:eastAsia="Times New Roman" w:hAnsi="Times New Roman"/>
                <w:b w:val="false"/>
                <w:bCs w:val="false"/>
                <w:sz w:val="20"/>
                <w:szCs w:val="20"/>
              </w:rPr>
              <w:t xml:space="preserve"/>
            </w:r>
          </w:p>
          <w:p>
            <w:pPr>
              <w:spacing w:after="0" w:before="0"/>
              <w:jc w:val="left"/>
            </w:pPr>
            <w:r>
              <w:rPr>
                <w:rFonts w:ascii="Times New Roman" w:cs="Times New Roman" w:eastAsia="Times New Roman" w:hAnsi="Times New Roman"/>
                <w:b w:val="false"/>
                <w:bCs w:val="false"/>
                <w:sz w:val="20"/>
                <w:szCs w:val="20"/>
              </w:rPr>
              <w:t xml:space="preserve">_____________ / _____________</w:t>
            </w:r>
          </w:p>
        </w:tc>
      </w:tr>
    </w:tbl>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AGREEMENT 1</dc:title>
  <dc:creator>Контракт.онлайн</dc:creator>
  <cp:lastModifiedBy>Un-named</cp:lastModifiedBy>
  <cp:revision>1</cp:revision>
  <dcterms:created xsi:type="dcterms:W3CDTF">2026-10-11T18:28:00.142Z</dcterms:created>
  <dcterms:modified xsi:type="dcterms:W3CDTF">2026-10-11T18:28:00.143Z</dcterms:modified>
</cp:coreProperties>
</file>

<file path=docProps/custom.xml><?xml version="1.0" encoding="utf-8"?>
<Properties xmlns="http://schemas.openxmlformats.org/officeDocument/2006/custom-properties" xmlns:vt="http://schemas.openxmlformats.org/officeDocument/2006/docPropsVTypes"/>
</file>